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72D7" w14:textId="77777777" w:rsidR="0075473A" w:rsidRDefault="0075473A" w:rsidP="00E80817">
      <w:pPr>
        <w:shd w:val="clear" w:color="auto" w:fill="FFFFFF"/>
        <w:spacing w:before="225" w:after="143" w:line="240" w:lineRule="auto"/>
        <w:jc w:val="both"/>
        <w:outlineLvl w:val="0"/>
        <w:rPr>
          <w:rFonts w:ascii="Georgia" w:eastAsia="Times New Roman" w:hAnsi="Georgia" w:cs="Times New Roman"/>
          <w:b/>
          <w:bCs/>
          <w:kern w:val="36"/>
          <w:lang w:eastAsia="it-IT"/>
          <w14:ligatures w14:val="none"/>
        </w:rPr>
      </w:pPr>
    </w:p>
    <w:p w14:paraId="3F8B2A26" w14:textId="48E6F299" w:rsidR="0075473A" w:rsidRDefault="0075473A" w:rsidP="00E80817">
      <w:pPr>
        <w:shd w:val="clear" w:color="auto" w:fill="FFFFFF"/>
        <w:spacing w:before="225" w:after="143" w:line="240" w:lineRule="auto"/>
        <w:jc w:val="both"/>
        <w:outlineLvl w:val="0"/>
        <w:rPr>
          <w:rFonts w:ascii="Georgia" w:eastAsia="Times New Roman" w:hAnsi="Georgia" w:cs="Times New Roman"/>
          <w:b/>
          <w:bCs/>
          <w:kern w:val="36"/>
          <w:lang w:eastAsia="it-IT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lang w:eastAsia="it-IT"/>
          <w14:ligatures w14:val="none"/>
        </w:rPr>
        <w:t>Articolo settimanale Fondazione Studi dell’8 marzo 2024</w:t>
      </w:r>
    </w:p>
    <w:p w14:paraId="057631F7" w14:textId="079378BA" w:rsidR="00E80817" w:rsidRPr="00E80817" w:rsidRDefault="00E80817" w:rsidP="00E80817">
      <w:pPr>
        <w:shd w:val="clear" w:color="auto" w:fill="FFFFFF"/>
        <w:spacing w:before="225" w:after="143" w:line="240" w:lineRule="auto"/>
        <w:jc w:val="both"/>
        <w:outlineLvl w:val="0"/>
        <w:rPr>
          <w:rFonts w:ascii="Georgia" w:eastAsia="Times New Roman" w:hAnsi="Georgia" w:cs="Times New Roman"/>
          <w:b/>
          <w:bCs/>
          <w:kern w:val="36"/>
          <w:lang w:eastAsia="it-IT"/>
          <w14:ligatures w14:val="none"/>
        </w:rPr>
      </w:pPr>
      <w:r w:rsidRPr="00E80817">
        <w:rPr>
          <w:rFonts w:ascii="Georgia" w:eastAsia="Times New Roman" w:hAnsi="Georgia" w:cs="Times New Roman"/>
          <w:b/>
          <w:bCs/>
          <w:kern w:val="36"/>
          <w:lang w:eastAsia="it-IT"/>
          <w14:ligatures w14:val="none"/>
        </w:rPr>
        <w:t>IA: un cambiamento da governare</w:t>
      </w:r>
    </w:p>
    <w:p w14:paraId="177BBB13" w14:textId="77777777" w:rsidR="00E80817" w:rsidRPr="00E80817" w:rsidRDefault="00E80817" w:rsidP="00E80817">
      <w:pPr>
        <w:jc w:val="both"/>
        <w:rPr>
          <w:rFonts w:ascii="Georgia" w:hAnsi="Georgia"/>
          <w:shd w:val="clear" w:color="auto" w:fill="FFFFFF"/>
        </w:rPr>
      </w:pPr>
    </w:p>
    <w:p w14:paraId="58E84D6C" w14:textId="27AC7498" w:rsidR="00EE08BE" w:rsidRPr="00CE019C" w:rsidRDefault="00E80817" w:rsidP="00E80817">
      <w:pPr>
        <w:jc w:val="both"/>
        <w:rPr>
          <w:rFonts w:ascii="Georgia" w:hAnsi="Georgia"/>
          <w:shd w:val="clear" w:color="auto" w:fill="FFFFFF"/>
        </w:rPr>
      </w:pPr>
      <w:r w:rsidRPr="00CE019C">
        <w:rPr>
          <w:rFonts w:ascii="Georgia" w:hAnsi="Georgia"/>
          <w:shd w:val="clear" w:color="auto" w:fill="FFFFFF"/>
        </w:rPr>
        <w:t xml:space="preserve">Il mercato del lavoro è destinato a fare i conti con l’intelligenza artificiale. Le nuove frontiere della digitalizzazione incideranno, e non poco, su aziende e lavoratori. Esiste infatti la probabilità che l’IA e la robotica portino alla delocalizzazione e alla trasformazione dei posti di lavoro, alla scomparsa di alcune professioni e alla nascita di altre. Per affrontare e governare tale epocale cambiamento, sarà importante farsi trovare pronti perché, da una parte, si dovrà sfruttare il potenziale offerto dalle nuove tecnologie per aumentare la produttività e migliorare la qualità del lavoro e dell’occupazione, dall’altra, bisognerà scongiurare il rischio di un aumento delle disparità retributive e una riduzione dell’accesso ai sistemi di sicurezza sociale. Sono alcune delle osservazioni presentate nell’ambito dell’indagine conoscitiva sul rapporto tra IA e mondo del lavoro dal Consiglio Nazionale dell’Ordine dei Consulenti del Lavoro (CNO) nel corso dell’audizione che si è svolta il 4 marzo scorso presso le Commissioni Lavoro pubblico e privato della Camera dei Deputati. L’intelligenza artificiale può rappresentare un’alleata dei lavoratori, perché il ricorso allo strumento può aiutare nell’esecuzione di mansioni ripetitive, faticose e perfino pericolose, ma può anche aprire la strada a nuovi modelli di lavoro, come il lavoro autonomo o il telelavoro. Per il momento non esiste un’IA omologante né intelligente a tal punto da essere destinataria di qualsiasi delega di funzione. Ad avviso del CNO è indispensabile la formazione in via permanente dei lavoratori che, a loro volta, dovranno essere disposti ad accettare impegni formativi continui per la transizione e il mantenimento delle loro competenze durante tutto l’arco della loro vita lavorativa. Le norme di legge e le disposizioni applicative dovranno poi gettare le basi per consentire al mercato del lavoro di valorizzare la digitalizzazione su aspetti che comprendano le competenze e la formazione, ma anche la qualità del lavoro stesso, l’efficienza digitale della PA, il contrasto al lavoro nero e al dumping sociale, tra gli altri aspetti. E sulle competenze necessarie nell’era digitale, il CNO è dell’avviso che bisogna promuovere investimenti pubblici e privati nell’istruzione professionale, mentre per contrastare l’aumento delle diseguaglianze di reddito, in parte prodotte dalla digitalizzazione, bisognerà favorire “la contrattazione collettiva. Il documento completo è disponibile su </w:t>
      </w:r>
      <w:hyperlink r:id="rId4" w:history="1">
        <w:r w:rsidRPr="00CE019C">
          <w:rPr>
            <w:rStyle w:val="Collegamentoipertestuale"/>
            <w:rFonts w:ascii="Georgia" w:hAnsi="Georgia"/>
            <w:shd w:val="clear" w:color="auto" w:fill="FFFFFF"/>
          </w:rPr>
          <w:t>www.consulentidellavoro.it</w:t>
        </w:r>
      </w:hyperlink>
      <w:r w:rsidRPr="00CE019C">
        <w:rPr>
          <w:rFonts w:ascii="Georgia" w:hAnsi="Georgia"/>
          <w:shd w:val="clear" w:color="auto" w:fill="FFFFFF"/>
        </w:rPr>
        <w:t xml:space="preserve"> .</w:t>
      </w:r>
    </w:p>
    <w:sectPr w:rsidR="00EE08BE" w:rsidRPr="00CE0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BE"/>
    <w:rsid w:val="0075473A"/>
    <w:rsid w:val="00A56D5A"/>
    <w:rsid w:val="00CE019C"/>
    <w:rsid w:val="00E80817"/>
    <w:rsid w:val="00E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4D18"/>
  <w15:chartTrackingRefBased/>
  <w15:docId w15:val="{AB91664E-93E9-45B4-9277-E5F3B3A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8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8081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08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808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2024-03-11T09:14:00Z</dcterms:created>
  <dcterms:modified xsi:type="dcterms:W3CDTF">2024-03-11T09:14:00Z</dcterms:modified>
</cp:coreProperties>
</file>