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8713" w14:textId="77777777" w:rsidR="00562677" w:rsidRDefault="00562677" w:rsidP="00A74AA2">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53BA72B1" w14:textId="77777777" w:rsidR="007B1FB5" w:rsidRDefault="007B1FB5" w:rsidP="00A74AA2">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44BA470F" w14:textId="15931670" w:rsidR="007B1FB5" w:rsidRDefault="007B1FB5" w:rsidP="00A74AA2">
      <w:pPr>
        <w:shd w:val="clear" w:color="auto" w:fill="FFFFFF"/>
        <w:spacing w:after="0" w:line="240" w:lineRule="auto"/>
        <w:jc w:val="both"/>
        <w:rPr>
          <w:rFonts w:ascii="Georgia" w:eastAsia="Times New Roman" w:hAnsi="Georgia" w:cs="Calibri"/>
          <w:b/>
          <w:bCs/>
          <w:color w:val="222222"/>
          <w:kern w:val="0"/>
          <w:lang w:eastAsia="it-IT"/>
          <w14:ligatures w14:val="none"/>
        </w:rPr>
      </w:pPr>
      <w:r>
        <w:rPr>
          <w:rFonts w:ascii="Georgia" w:eastAsia="Times New Roman" w:hAnsi="Georgia" w:cs="Calibri"/>
          <w:b/>
          <w:bCs/>
          <w:color w:val="222222"/>
          <w:kern w:val="0"/>
          <w:lang w:eastAsia="it-IT"/>
          <w14:ligatures w14:val="none"/>
        </w:rPr>
        <w:t>Articolo settimanale Fondazione Studi del 22 marzo 2024</w:t>
      </w:r>
    </w:p>
    <w:p w14:paraId="2404F066" w14:textId="77777777" w:rsidR="007B1FB5" w:rsidRPr="00A74AA2" w:rsidRDefault="007B1FB5" w:rsidP="00A74AA2">
      <w:pPr>
        <w:shd w:val="clear" w:color="auto" w:fill="FFFFFF"/>
        <w:spacing w:after="0" w:line="240" w:lineRule="auto"/>
        <w:jc w:val="both"/>
        <w:rPr>
          <w:rFonts w:ascii="Georgia" w:eastAsia="Times New Roman" w:hAnsi="Georgia" w:cs="Calibri"/>
          <w:b/>
          <w:bCs/>
          <w:color w:val="222222"/>
          <w:kern w:val="0"/>
          <w:lang w:eastAsia="it-IT"/>
          <w14:ligatures w14:val="none"/>
        </w:rPr>
      </w:pPr>
    </w:p>
    <w:p w14:paraId="7EEDF16A" w14:textId="2A592339" w:rsidR="00562677" w:rsidRDefault="00733F5D" w:rsidP="00A74AA2">
      <w:pPr>
        <w:shd w:val="clear" w:color="auto" w:fill="FFFFFF"/>
        <w:spacing w:after="0" w:line="240" w:lineRule="auto"/>
        <w:jc w:val="both"/>
        <w:rPr>
          <w:rFonts w:ascii="Georgia" w:eastAsia="Times New Roman" w:hAnsi="Georgia" w:cs="Calibri"/>
          <w:b/>
          <w:bCs/>
          <w:color w:val="222222"/>
          <w:kern w:val="0"/>
          <w:lang w:eastAsia="it-IT"/>
          <w14:ligatures w14:val="none"/>
        </w:rPr>
      </w:pPr>
      <w:r>
        <w:rPr>
          <w:rFonts w:ascii="Georgia" w:eastAsia="Times New Roman" w:hAnsi="Georgia" w:cs="Calibri"/>
          <w:b/>
          <w:bCs/>
          <w:color w:val="222222"/>
          <w:kern w:val="0"/>
          <w:lang w:eastAsia="it-IT"/>
          <w14:ligatures w14:val="none"/>
        </w:rPr>
        <w:t>Benefit, prestiti e turismo</w:t>
      </w:r>
      <w:r w:rsidR="00562677" w:rsidRPr="00A74AA2">
        <w:rPr>
          <w:rFonts w:ascii="Georgia" w:eastAsia="Times New Roman" w:hAnsi="Georgia" w:cs="Calibri"/>
          <w:b/>
          <w:bCs/>
          <w:color w:val="222222"/>
          <w:kern w:val="0"/>
          <w:lang w:eastAsia="it-IT"/>
          <w14:ligatures w14:val="none"/>
        </w:rPr>
        <w:t>: le istruzioni delle Entrate</w:t>
      </w:r>
    </w:p>
    <w:p w14:paraId="5F640E3A" w14:textId="77777777" w:rsidR="00A74AA2" w:rsidRPr="00A74AA2" w:rsidRDefault="00A74AA2" w:rsidP="00A74AA2">
      <w:pPr>
        <w:shd w:val="clear" w:color="auto" w:fill="FFFFFF"/>
        <w:spacing w:after="0" w:line="240" w:lineRule="auto"/>
        <w:jc w:val="both"/>
        <w:rPr>
          <w:rFonts w:ascii="Georgia" w:eastAsia="Times New Roman" w:hAnsi="Georgia" w:cs="Calibri"/>
          <w:color w:val="222222"/>
          <w:kern w:val="0"/>
          <w:lang w:eastAsia="it-IT"/>
          <w14:ligatures w14:val="none"/>
        </w:rPr>
      </w:pPr>
    </w:p>
    <w:p w14:paraId="775519D3" w14:textId="2362099E" w:rsidR="00BB675D" w:rsidRPr="00A74AA2" w:rsidRDefault="00562677" w:rsidP="00A74AA2">
      <w:pPr>
        <w:shd w:val="clear" w:color="auto" w:fill="FFFFFF"/>
        <w:spacing w:after="0" w:line="240" w:lineRule="auto"/>
        <w:jc w:val="both"/>
        <w:rPr>
          <w:rFonts w:ascii="Georgia" w:eastAsia="Times New Roman" w:hAnsi="Georgia" w:cs="Calibri"/>
          <w:color w:val="222222"/>
          <w:kern w:val="0"/>
          <w:lang w:eastAsia="it-IT"/>
          <w14:ligatures w14:val="none"/>
        </w:rPr>
      </w:pPr>
      <w:r w:rsidRPr="00A74AA2">
        <w:rPr>
          <w:rFonts w:ascii="Georgia" w:eastAsia="Times New Roman" w:hAnsi="Georgia" w:cs="Calibri"/>
          <w:color w:val="222222"/>
          <w:kern w:val="0"/>
          <w:lang w:eastAsia="it-IT"/>
          <w14:ligatures w14:val="none"/>
        </w:rPr>
        <w:t> </w:t>
      </w:r>
      <w:r w:rsidR="00BB675D" w:rsidRPr="00A74AA2">
        <w:rPr>
          <w:rFonts w:ascii="Georgia" w:hAnsi="Georgia"/>
        </w:rPr>
        <w:t> </w:t>
      </w:r>
    </w:p>
    <w:p w14:paraId="16CC9F7A" w14:textId="1649D3FF" w:rsidR="00BB675D" w:rsidRPr="00A74AA2" w:rsidRDefault="00BB675D" w:rsidP="00A74AA2">
      <w:pPr>
        <w:spacing w:after="0" w:line="240" w:lineRule="auto"/>
        <w:jc w:val="both"/>
        <w:rPr>
          <w:rFonts w:ascii="Georgia" w:hAnsi="Georgia"/>
        </w:rPr>
      </w:pPr>
      <w:r w:rsidRPr="00A74AA2">
        <w:rPr>
          <w:rFonts w:ascii="Georgia" w:hAnsi="Georgia"/>
        </w:rPr>
        <w:t xml:space="preserve">Misure fiscali per il welfare aziendale e in materia di riscatto dei periodi non coperti da retribuzione, ma anche trattamento integrativo speciale per i lavoratori degli esercizi di somministrazione di bevande e per quelli del comparto turistico, ricettivo e termale. Su queste e altre novità in materia di reddito di lavoro dipendente, previste dalla Manovra 2024, si focalizza la circolare n. 5/E con cui l’Agenzia delle Entrate fornisce le istruzioni operative agli uffici. </w:t>
      </w:r>
      <w:r w:rsidRPr="00A74AA2">
        <w:rPr>
          <w:rFonts w:ascii="Georgia" w:hAnsi="Georgia"/>
          <w:color w:val="000000"/>
        </w:rPr>
        <w:t xml:space="preserve">La legge di Bilancio 2024 stabilisce che non concorrono al reddito di lavoro dipendente, entro il limite di </w:t>
      </w:r>
      <w:r w:rsidR="00337A18">
        <w:rPr>
          <w:rFonts w:ascii="Georgia" w:hAnsi="Georgia"/>
          <w:color w:val="000000"/>
        </w:rPr>
        <w:t>1.000</w:t>
      </w:r>
      <w:r w:rsidRPr="00A74AA2">
        <w:rPr>
          <w:rFonts w:ascii="Georgia" w:hAnsi="Georgia"/>
          <w:color w:val="000000"/>
        </w:rPr>
        <w:t xml:space="preserve"> euro, i beni e i servizi prestati e le somme erogate o rimborsate ai lavoratori. Tetto che sale a 2</w:t>
      </w:r>
      <w:r w:rsidR="00337A18">
        <w:rPr>
          <w:rFonts w:ascii="Georgia" w:hAnsi="Georgia"/>
          <w:color w:val="000000"/>
        </w:rPr>
        <w:t>.000</w:t>
      </w:r>
      <w:r w:rsidRPr="00A74AA2">
        <w:rPr>
          <w:rFonts w:ascii="Georgia" w:hAnsi="Georgia"/>
          <w:color w:val="000000"/>
        </w:rPr>
        <w:t xml:space="preserve"> euro se il dipendente ha figli a carico.</w:t>
      </w:r>
      <w:r w:rsidRPr="00A74AA2">
        <w:rPr>
          <w:rFonts w:ascii="Georgia" w:hAnsi="Georgia"/>
        </w:rPr>
        <w:t xml:space="preserve"> Tra i </w:t>
      </w:r>
      <w:r w:rsidRPr="00A74AA2">
        <w:rPr>
          <w:rStyle w:val="Enfasicorsivo"/>
          <w:rFonts w:ascii="Georgia" w:hAnsi="Georgia"/>
        </w:rPr>
        <w:t>fringe benefit</w:t>
      </w:r>
      <w:r w:rsidRPr="00A74AA2">
        <w:rPr>
          <w:rFonts w:ascii="Georgia" w:hAnsi="Georgia"/>
        </w:rPr>
        <w:t xml:space="preserve"> rientrano, inoltre, non solo le somme per il pagamento delle utenze domestiche (energia elettrica, acqua e gas), ma anche quelle per l’affitto o gli interessi sul mutuo dell’abitazione principale del lavoratore, anche se il contratto di affitto</w:t>
      </w:r>
      <w:r w:rsidR="00337A18">
        <w:rPr>
          <w:rFonts w:ascii="Georgia" w:hAnsi="Georgia"/>
        </w:rPr>
        <w:t>,</w:t>
      </w:r>
      <w:r w:rsidRPr="00A74AA2">
        <w:rPr>
          <w:rFonts w:ascii="Georgia" w:hAnsi="Georgia"/>
        </w:rPr>
        <w:t xml:space="preserve"> o il mutuo sono intestati al coniuge</w:t>
      </w:r>
      <w:r w:rsidR="00337A18">
        <w:rPr>
          <w:rFonts w:ascii="Georgia" w:hAnsi="Georgia"/>
        </w:rPr>
        <w:t>,</w:t>
      </w:r>
      <w:r w:rsidRPr="00A74AA2">
        <w:rPr>
          <w:rFonts w:ascii="Georgia" w:hAnsi="Georgia"/>
        </w:rPr>
        <w:t xml:space="preserve"> o a un altro familiare del dipendente. È necessario, ai fini documentali, che il datore di lavoro acquisisca e conservi, per eventuali controlli, la documentazione per giustificare la somma spesa o, in alternativa, può acquisire una “dichiarazione sostitutiva di atto di notorietà”. L’Erario fornisce poi chiarimenti sulle modalità per determinare il compenso </w:t>
      </w:r>
      <w:r w:rsidRPr="00A74AA2">
        <w:rPr>
          <w:rFonts w:ascii="Georgia" w:hAnsi="Georgia"/>
          <w:color w:val="000000"/>
        </w:rPr>
        <w:t>in natura in caso di prestiti concessi al lavoratore, con particolare riguardo al tasso ufficiale di riferimento (Tur) che, per i prestiti a tasso variabile, è quello vigente alla data di scadenza di ciascuna rata e per i prestiti a tasso fisso è quello in vigore alla data di concessione del prestito. Per sostenere poi il settore turistico, ricettivo e termale</w:t>
      </w:r>
      <w:r w:rsidRPr="00A74AA2">
        <w:rPr>
          <w:rFonts w:ascii="Georgia" w:hAnsi="Georgia"/>
        </w:rPr>
        <w:t xml:space="preserve">, l’ultima Finanziaria riconosce, </w:t>
      </w:r>
      <w:r w:rsidR="00337A18">
        <w:rPr>
          <w:rFonts w:ascii="Georgia" w:hAnsi="Georgia"/>
        </w:rPr>
        <w:t xml:space="preserve">ai lavoratori </w:t>
      </w:r>
      <w:r w:rsidRPr="00A74AA2">
        <w:rPr>
          <w:rFonts w:ascii="Georgia" w:hAnsi="Georgia"/>
        </w:rPr>
        <w:t>un trattamento integrativo speciale, pari al 15%</w:t>
      </w:r>
      <w:r w:rsidR="00337A18">
        <w:rPr>
          <w:rFonts w:ascii="Georgia" w:hAnsi="Georgia"/>
        </w:rPr>
        <w:t>, per</w:t>
      </w:r>
      <w:r w:rsidRPr="00A74AA2">
        <w:rPr>
          <w:rFonts w:ascii="Georgia" w:hAnsi="Georgia"/>
        </w:rPr>
        <w:t xml:space="preserve"> prestazioni rese tra </w:t>
      </w:r>
      <w:r w:rsidR="00337A18">
        <w:rPr>
          <w:rFonts w:ascii="Georgia" w:hAnsi="Georgia"/>
        </w:rPr>
        <w:t xml:space="preserve">l’1.1 </w:t>
      </w:r>
      <w:r w:rsidRPr="00A74AA2">
        <w:rPr>
          <w:rFonts w:ascii="Georgia" w:hAnsi="Georgia"/>
        </w:rPr>
        <w:t>e il 30</w:t>
      </w:r>
      <w:r w:rsidR="00337A18">
        <w:rPr>
          <w:rFonts w:ascii="Georgia" w:hAnsi="Georgia"/>
        </w:rPr>
        <w:t>.6.</w:t>
      </w:r>
      <w:r w:rsidRPr="00A74AA2">
        <w:rPr>
          <w:rFonts w:ascii="Georgia" w:hAnsi="Georgia"/>
        </w:rPr>
        <w:t>2024 dai lavoratori dipendenti con redditi non superiori a 4</w:t>
      </w:r>
      <w:r w:rsidR="00337A18">
        <w:rPr>
          <w:rFonts w:ascii="Georgia" w:hAnsi="Georgia"/>
        </w:rPr>
        <w:t>0.000</w:t>
      </w:r>
      <w:r w:rsidRPr="00A74AA2">
        <w:rPr>
          <w:rFonts w:ascii="Georgia" w:hAnsi="Georgia"/>
        </w:rPr>
        <w:t xml:space="preserve"> euro per il periodo di imposta 2023. L’agevolazione è calcolata sulla retribuzione lorda corrisposta per lavoro straordinario in giorni festivi o in periodo notturno. Il datore di lavoro, a partire dalla prima retribuzione utile e, comunque entro il termine di effettuazione delle operazioni di conguaglio di fine anno, eroga come sostituto d’imposta il trattamento integrativo speciale, indicando poi l’importo nella certificazione unica del dipendente relativa al periodo di imposta 2024.</w:t>
      </w:r>
      <w:r w:rsidR="00337A18">
        <w:rPr>
          <w:rFonts w:ascii="Georgia" w:hAnsi="Georgia"/>
        </w:rPr>
        <w:t xml:space="preserve"> Info dai Consulenti del lavoro.</w:t>
      </w:r>
    </w:p>
    <w:p w14:paraId="3C3B7BE0" w14:textId="77777777" w:rsidR="000B56E8" w:rsidRPr="00A74AA2" w:rsidRDefault="000B56E8" w:rsidP="00A74AA2">
      <w:pPr>
        <w:spacing w:after="0" w:line="240" w:lineRule="auto"/>
        <w:jc w:val="both"/>
        <w:rPr>
          <w:rFonts w:ascii="Georgia" w:hAnsi="Georgia"/>
        </w:rPr>
      </w:pPr>
    </w:p>
    <w:sectPr w:rsidR="000B56E8" w:rsidRPr="00A74A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E8"/>
    <w:rsid w:val="000B56E8"/>
    <w:rsid w:val="00337A18"/>
    <w:rsid w:val="00562677"/>
    <w:rsid w:val="00733F5D"/>
    <w:rsid w:val="007B1FB5"/>
    <w:rsid w:val="00A74AA2"/>
    <w:rsid w:val="00BB6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6686"/>
  <w15:chartTrackingRefBased/>
  <w15:docId w15:val="{2946698E-65AE-481C-AB34-5D1E7C5F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56267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562677"/>
    <w:rPr>
      <w:rFonts w:ascii="Times New Roman" w:eastAsia="Times New Roman" w:hAnsi="Times New Roman" w:cs="Times New Roman"/>
      <w:b/>
      <w:bCs/>
      <w:kern w:val="0"/>
      <w:sz w:val="27"/>
      <w:szCs w:val="27"/>
      <w:lang w:eastAsia="it-IT"/>
      <w14:ligatures w14:val="none"/>
    </w:rPr>
  </w:style>
  <w:style w:type="character" w:customStyle="1" w:styleId="gd">
    <w:name w:val="gd"/>
    <w:basedOn w:val="Carpredefinitoparagrafo"/>
    <w:rsid w:val="00562677"/>
  </w:style>
  <w:style w:type="character" w:customStyle="1" w:styleId="g3">
    <w:name w:val="g3"/>
    <w:basedOn w:val="Carpredefinitoparagrafo"/>
    <w:rsid w:val="00562677"/>
  </w:style>
  <w:style w:type="character" w:customStyle="1" w:styleId="hb">
    <w:name w:val="hb"/>
    <w:basedOn w:val="Carpredefinitoparagrafo"/>
    <w:rsid w:val="00562677"/>
  </w:style>
  <w:style w:type="character" w:customStyle="1" w:styleId="g2">
    <w:name w:val="g2"/>
    <w:basedOn w:val="Carpredefinitoparagrafo"/>
    <w:rsid w:val="00562677"/>
  </w:style>
  <w:style w:type="character" w:styleId="Collegamentoipertestuale">
    <w:name w:val="Hyperlink"/>
    <w:basedOn w:val="Carpredefinitoparagrafo"/>
    <w:uiPriority w:val="99"/>
    <w:semiHidden/>
    <w:unhideWhenUsed/>
    <w:rsid w:val="00562677"/>
    <w:rPr>
      <w:color w:val="0000FF"/>
      <w:u w:val="single"/>
    </w:rPr>
  </w:style>
  <w:style w:type="character" w:styleId="Enfasicorsivo">
    <w:name w:val="Emphasis"/>
    <w:basedOn w:val="Carpredefinitoparagrafo"/>
    <w:uiPriority w:val="20"/>
    <w:qFormat/>
    <w:rsid w:val="00562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99240">
      <w:bodyDiv w:val="1"/>
      <w:marLeft w:val="0"/>
      <w:marRight w:val="0"/>
      <w:marTop w:val="0"/>
      <w:marBottom w:val="0"/>
      <w:divBdr>
        <w:top w:val="none" w:sz="0" w:space="0" w:color="auto"/>
        <w:left w:val="none" w:sz="0" w:space="0" w:color="auto"/>
        <w:bottom w:val="none" w:sz="0" w:space="0" w:color="auto"/>
        <w:right w:val="none" w:sz="0" w:space="0" w:color="auto"/>
      </w:divBdr>
    </w:div>
    <w:div w:id="1215000729">
      <w:bodyDiv w:val="1"/>
      <w:marLeft w:val="0"/>
      <w:marRight w:val="0"/>
      <w:marTop w:val="0"/>
      <w:marBottom w:val="0"/>
      <w:divBdr>
        <w:top w:val="none" w:sz="0" w:space="0" w:color="auto"/>
        <w:left w:val="none" w:sz="0" w:space="0" w:color="auto"/>
        <w:bottom w:val="none" w:sz="0" w:space="0" w:color="auto"/>
        <w:right w:val="none" w:sz="0" w:space="0" w:color="auto"/>
      </w:divBdr>
      <w:divsChild>
        <w:div w:id="381095180">
          <w:marLeft w:val="0"/>
          <w:marRight w:val="0"/>
          <w:marTop w:val="0"/>
          <w:marBottom w:val="0"/>
          <w:divBdr>
            <w:top w:val="none" w:sz="0" w:space="0" w:color="auto"/>
            <w:left w:val="none" w:sz="0" w:space="0" w:color="auto"/>
            <w:bottom w:val="none" w:sz="0" w:space="0" w:color="auto"/>
            <w:right w:val="none" w:sz="0" w:space="0" w:color="auto"/>
          </w:divBdr>
          <w:divsChild>
            <w:div w:id="2132046950">
              <w:marLeft w:val="0"/>
              <w:marRight w:val="0"/>
              <w:marTop w:val="0"/>
              <w:marBottom w:val="0"/>
              <w:divBdr>
                <w:top w:val="none" w:sz="0" w:space="0" w:color="auto"/>
                <w:left w:val="none" w:sz="0" w:space="0" w:color="auto"/>
                <w:bottom w:val="none" w:sz="0" w:space="0" w:color="auto"/>
                <w:right w:val="none" w:sz="0" w:space="0" w:color="auto"/>
              </w:divBdr>
            </w:div>
          </w:divsChild>
        </w:div>
        <w:div w:id="1847280350">
          <w:marLeft w:val="0"/>
          <w:marRight w:val="0"/>
          <w:marTop w:val="0"/>
          <w:marBottom w:val="0"/>
          <w:divBdr>
            <w:top w:val="none" w:sz="0" w:space="0" w:color="auto"/>
            <w:left w:val="none" w:sz="0" w:space="0" w:color="auto"/>
            <w:bottom w:val="none" w:sz="0" w:space="0" w:color="auto"/>
            <w:right w:val="none" w:sz="0" w:space="0" w:color="auto"/>
          </w:divBdr>
          <w:divsChild>
            <w:div w:id="214976364">
              <w:marLeft w:val="0"/>
              <w:marRight w:val="0"/>
              <w:marTop w:val="0"/>
              <w:marBottom w:val="0"/>
              <w:divBdr>
                <w:top w:val="none" w:sz="0" w:space="0" w:color="auto"/>
                <w:left w:val="none" w:sz="0" w:space="0" w:color="auto"/>
                <w:bottom w:val="none" w:sz="0" w:space="0" w:color="auto"/>
                <w:right w:val="none" w:sz="0" w:space="0" w:color="auto"/>
              </w:divBdr>
              <w:divsChild>
                <w:div w:id="1385712047">
                  <w:marLeft w:val="0"/>
                  <w:marRight w:val="0"/>
                  <w:marTop w:val="0"/>
                  <w:marBottom w:val="0"/>
                  <w:divBdr>
                    <w:top w:val="none" w:sz="0" w:space="0" w:color="auto"/>
                    <w:left w:val="none" w:sz="0" w:space="0" w:color="auto"/>
                    <w:bottom w:val="none" w:sz="0" w:space="0" w:color="auto"/>
                    <w:right w:val="none" w:sz="0" w:space="0" w:color="auto"/>
                  </w:divBdr>
                </w:div>
                <w:div w:id="1416780264">
                  <w:marLeft w:val="300"/>
                  <w:marRight w:val="0"/>
                  <w:marTop w:val="0"/>
                  <w:marBottom w:val="0"/>
                  <w:divBdr>
                    <w:top w:val="none" w:sz="0" w:space="0" w:color="auto"/>
                    <w:left w:val="none" w:sz="0" w:space="0" w:color="auto"/>
                    <w:bottom w:val="none" w:sz="0" w:space="0" w:color="auto"/>
                    <w:right w:val="none" w:sz="0" w:space="0" w:color="auto"/>
                  </w:divBdr>
                </w:div>
                <w:div w:id="1262840887">
                  <w:marLeft w:val="300"/>
                  <w:marRight w:val="0"/>
                  <w:marTop w:val="0"/>
                  <w:marBottom w:val="0"/>
                  <w:divBdr>
                    <w:top w:val="none" w:sz="0" w:space="0" w:color="auto"/>
                    <w:left w:val="none" w:sz="0" w:space="0" w:color="auto"/>
                    <w:bottom w:val="none" w:sz="0" w:space="0" w:color="auto"/>
                    <w:right w:val="none" w:sz="0" w:space="0" w:color="auto"/>
                  </w:divBdr>
                </w:div>
                <w:div w:id="777220555">
                  <w:marLeft w:val="300"/>
                  <w:marRight w:val="0"/>
                  <w:marTop w:val="0"/>
                  <w:marBottom w:val="0"/>
                  <w:divBdr>
                    <w:top w:val="none" w:sz="0" w:space="0" w:color="auto"/>
                    <w:left w:val="none" w:sz="0" w:space="0" w:color="auto"/>
                    <w:bottom w:val="none" w:sz="0" w:space="0" w:color="auto"/>
                    <w:right w:val="none" w:sz="0" w:space="0" w:color="auto"/>
                  </w:divBdr>
                </w:div>
                <w:div w:id="401220779">
                  <w:marLeft w:val="0"/>
                  <w:marRight w:val="0"/>
                  <w:marTop w:val="0"/>
                  <w:marBottom w:val="0"/>
                  <w:divBdr>
                    <w:top w:val="none" w:sz="0" w:space="0" w:color="auto"/>
                    <w:left w:val="none" w:sz="0" w:space="0" w:color="auto"/>
                    <w:bottom w:val="none" w:sz="0" w:space="0" w:color="auto"/>
                    <w:right w:val="none" w:sz="0" w:space="0" w:color="auto"/>
                  </w:divBdr>
                </w:div>
                <w:div w:id="1139877275">
                  <w:marLeft w:val="60"/>
                  <w:marRight w:val="0"/>
                  <w:marTop w:val="0"/>
                  <w:marBottom w:val="0"/>
                  <w:divBdr>
                    <w:top w:val="none" w:sz="0" w:space="0" w:color="auto"/>
                    <w:left w:val="none" w:sz="0" w:space="0" w:color="auto"/>
                    <w:bottom w:val="none" w:sz="0" w:space="0" w:color="auto"/>
                    <w:right w:val="none" w:sz="0" w:space="0" w:color="auto"/>
                  </w:divBdr>
                </w:div>
              </w:divsChild>
            </w:div>
            <w:div w:id="1111780112">
              <w:marLeft w:val="0"/>
              <w:marRight w:val="0"/>
              <w:marTop w:val="0"/>
              <w:marBottom w:val="0"/>
              <w:divBdr>
                <w:top w:val="none" w:sz="0" w:space="0" w:color="auto"/>
                <w:left w:val="none" w:sz="0" w:space="0" w:color="auto"/>
                <w:bottom w:val="none" w:sz="0" w:space="0" w:color="auto"/>
                <w:right w:val="none" w:sz="0" w:space="0" w:color="auto"/>
              </w:divBdr>
              <w:divsChild>
                <w:div w:id="669914685">
                  <w:marLeft w:val="0"/>
                  <w:marRight w:val="0"/>
                  <w:marTop w:val="120"/>
                  <w:marBottom w:val="0"/>
                  <w:divBdr>
                    <w:top w:val="none" w:sz="0" w:space="0" w:color="auto"/>
                    <w:left w:val="none" w:sz="0" w:space="0" w:color="auto"/>
                    <w:bottom w:val="none" w:sz="0" w:space="0" w:color="auto"/>
                    <w:right w:val="none" w:sz="0" w:space="0" w:color="auto"/>
                  </w:divBdr>
                  <w:divsChild>
                    <w:div w:id="325211440">
                      <w:marLeft w:val="0"/>
                      <w:marRight w:val="0"/>
                      <w:marTop w:val="0"/>
                      <w:marBottom w:val="0"/>
                      <w:divBdr>
                        <w:top w:val="none" w:sz="0" w:space="0" w:color="auto"/>
                        <w:left w:val="none" w:sz="0" w:space="0" w:color="auto"/>
                        <w:bottom w:val="none" w:sz="0" w:space="0" w:color="auto"/>
                        <w:right w:val="none" w:sz="0" w:space="0" w:color="auto"/>
                      </w:divBdr>
                      <w:divsChild>
                        <w:div w:id="6508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390</Words>
  <Characters>2223</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2024-03-22T08:53:00Z</dcterms:created>
  <dcterms:modified xsi:type="dcterms:W3CDTF">2024-03-22T08:53:00Z</dcterms:modified>
</cp:coreProperties>
</file>