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BFB04" w14:textId="7EEA99AD" w:rsidR="00701B46" w:rsidRDefault="00701B46">
      <w:r>
        <w:t>Articolo sett</w:t>
      </w:r>
      <w:r w:rsidR="00AA7D58">
        <w:t>imanale Fondazione del 4 settembre 2026</w:t>
      </w:r>
    </w:p>
    <w:tbl>
      <w:tblPr>
        <w:tblW w:w="9493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3"/>
      </w:tblGrid>
      <w:tr w:rsidR="003F7A30" w:rsidRPr="003F7A30" w14:paraId="6A5CAF10" w14:textId="77777777" w:rsidTr="003F7A30">
        <w:trPr>
          <w:trHeight w:val="128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578D7F62" w14:textId="6C305F9A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</w:tr>
      <w:tr w:rsidR="003F7A30" w:rsidRPr="003F7A30" w14:paraId="6B2A4E5D" w14:textId="77777777" w:rsidTr="003F7A30">
        <w:trPr>
          <w:trHeight w:val="224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6478037A" w14:textId="77777777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</w:tr>
      <w:tr w:rsidR="003F7A30" w:rsidRPr="003F7A30" w14:paraId="75671E26" w14:textId="77777777" w:rsidTr="003F7A30">
        <w:trPr>
          <w:trHeight w:val="239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0B848175" w14:textId="1209F922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b/>
                <w:bCs/>
                <w:sz w:val="22"/>
                <w:szCs w:val="22"/>
              </w:rPr>
            </w:pPr>
            <w:r w:rsidRPr="003F7A30">
              <w:rPr>
                <w:rFonts w:ascii="Georgia" w:hAnsi="Georgia"/>
                <w:b/>
                <w:bCs/>
                <w:sz w:val="22"/>
                <w:szCs w:val="22"/>
              </w:rPr>
              <w:t>Lavoro e retribuzioni Ue:le analisi di Fondazione Studi</w:t>
            </w:r>
          </w:p>
        </w:tc>
      </w:tr>
      <w:tr w:rsidR="003F7A30" w:rsidRPr="003F7A30" w14:paraId="34D6D8C5" w14:textId="77777777" w:rsidTr="003F7A30">
        <w:trPr>
          <w:trHeight w:val="140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56FF0FB2" w14:textId="77777777" w:rsid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sz w:val="22"/>
                <w:szCs w:val="22"/>
              </w:rPr>
            </w:pPr>
            <w:r w:rsidRPr="003F7A30">
              <w:rPr>
                <w:rFonts w:ascii="Georgia" w:hAnsi="Georgia"/>
                <w:sz w:val="22"/>
                <w:szCs w:val="22"/>
              </w:rPr>
              <w:t> </w:t>
            </w:r>
          </w:p>
          <w:p w14:paraId="00B4D833" w14:textId="77777777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</w:tc>
      </w:tr>
      <w:tr w:rsidR="003F7A30" w:rsidRPr="003F7A30" w14:paraId="05FC0B5F" w14:textId="77777777" w:rsidTr="003F7A30">
        <w:trPr>
          <w:trHeight w:val="7022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7CE5E161" w14:textId="019EE026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sz w:val="22"/>
                <w:szCs w:val="22"/>
              </w:rPr>
            </w:pPr>
            <w:r w:rsidRPr="003F7A30">
              <w:rPr>
                <w:rFonts w:ascii="Georgia" w:hAnsi="Georgia"/>
                <w:sz w:val="22"/>
                <w:szCs w:val="22"/>
              </w:rPr>
              <w:t>Due nuovi approfondimenti di Fondazione Studi Consulenti del Lavoro analizzano il mercato europeo del lavoro. Il primo, “</w:t>
            </w:r>
            <w:r w:rsidRPr="003F7A30">
              <w:rPr>
                <w:rFonts w:ascii="Georgia" w:hAnsi="Georgia"/>
                <w:i/>
                <w:iCs/>
                <w:sz w:val="22"/>
                <w:szCs w:val="22"/>
              </w:rPr>
              <w:t>Italia e Spagna: mercato del lavoro boom ma la qualità è diversa</w:t>
            </w:r>
            <w:r w:rsidRPr="003F7A30">
              <w:rPr>
                <w:rFonts w:ascii="Georgia" w:hAnsi="Georgia"/>
                <w:sz w:val="22"/>
                <w:szCs w:val="22"/>
              </w:rPr>
              <w:t>”, esamina le diverse dinamiche occupazionali dei due Paesi. Il secondo, “</w:t>
            </w:r>
            <w:r w:rsidRPr="003F7A30">
              <w:rPr>
                <w:rFonts w:ascii="Georgia" w:hAnsi="Georgia"/>
                <w:i/>
                <w:iCs/>
                <w:sz w:val="22"/>
                <w:szCs w:val="22"/>
              </w:rPr>
              <w:t>Una bussola per orientarsi tra i sistemi retributivi Ue</w:t>
            </w:r>
            <w:r w:rsidRPr="003F7A30">
              <w:rPr>
                <w:rFonts w:ascii="Georgia" w:hAnsi="Georgia"/>
                <w:sz w:val="22"/>
                <w:szCs w:val="22"/>
              </w:rPr>
              <w:t>”, confronta i sistemi retributivi di Italia, Grecia, Irlanda e Olanda, considerando non solo la paga mensile, ma anche tutele e istituti contrattuali. Italia e Spagna hanno registrato nel triennio 2023-2026 una crescita record dell’occupazione, ma con dinamiche e caratteristiche molto diverse. In Italia, dove gli occupati sono aumentati di 1,2 milioni, la crescita è stata trainata dai contratti a tempo indeterminato e da settori come manifattura e costruzioni, con un contributo significativo di donne e Mezzogiorno. Nello stesso periodo, la quota dei contratti a termine è scesa dal 16% al 14,7%, mentre il tasso di disoccupazione ha raggiunto il minimo storico del 5,1%. Differente il quadro spagnolo: a fronte di 1,5 milioni di lavoratori in più, l’incremento dell’occupazione si concentra soprattutto nei servizi a maggiore stagionalità e si accompagna alla diffusione dei “</w:t>
            </w:r>
            <w:r w:rsidRPr="003F7A30">
              <w:rPr>
                <w:rFonts w:ascii="Georgia" w:hAnsi="Georgia"/>
                <w:i/>
                <w:iCs/>
                <w:sz w:val="22"/>
                <w:szCs w:val="22"/>
              </w:rPr>
              <w:t>fijos</w:t>
            </w:r>
            <w:r w:rsidR="00F113DD">
              <w:rPr>
                <w:rFonts w:ascii="Georgia" w:hAnsi="Georgia"/>
                <w:i/>
                <w:iCs/>
                <w:sz w:val="22"/>
                <w:szCs w:val="22"/>
              </w:rPr>
              <w:t xml:space="preserve"> </w:t>
            </w:r>
            <w:r w:rsidRPr="003F7A30">
              <w:rPr>
                <w:rFonts w:ascii="Georgia" w:hAnsi="Georgia"/>
                <w:i/>
                <w:iCs/>
                <w:sz w:val="22"/>
                <w:szCs w:val="22"/>
              </w:rPr>
              <w:t>discontinuos</w:t>
            </w:r>
            <w:r w:rsidRPr="003F7A30">
              <w:rPr>
                <w:rFonts w:ascii="Georgia" w:hAnsi="Georgia"/>
                <w:sz w:val="22"/>
                <w:szCs w:val="22"/>
              </w:rPr>
              <w:t>”, contratti formalmente a tempo indeterminato che alternano periodi di attività e inattività. Diverse anche le sfide per il futuro: il mismatch tra domanda e offerta di competenze in Italia; la prevalenza di una domanda di lavoro legata soprattutto alle attività stagionali in Spagna. Una bussola per navigare tra le retribuzioni dei diversi Paesi europei e avere punti di riferimento che vadano oltre la sola paga mensile</w:t>
            </w:r>
            <w:r>
              <w:rPr>
                <w:rFonts w:ascii="Georgia" w:hAnsi="Georgia"/>
                <w:sz w:val="22"/>
                <w:szCs w:val="22"/>
              </w:rPr>
              <w:t xml:space="preserve">, è </w:t>
            </w:r>
            <w:r w:rsidRPr="003F7A30">
              <w:rPr>
                <w:rFonts w:ascii="Georgia" w:hAnsi="Georgia"/>
                <w:sz w:val="22"/>
                <w:szCs w:val="22"/>
              </w:rPr>
              <w:t>il risultato dell’analisi contenuta nel nuovo approfondimento della Fondazione Studi, dal titolo</w:t>
            </w:r>
            <w:r w:rsidR="00F113DD"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3F7A30">
              <w:rPr>
                <w:rFonts w:ascii="Georgia" w:hAnsi="Georgia"/>
                <w:i/>
                <w:iCs/>
                <w:sz w:val="22"/>
                <w:szCs w:val="22"/>
              </w:rPr>
              <w:t>"Analisi retributiva: disciplina italiana a confronto con altri Stati comunitari”, </w:t>
            </w:r>
            <w:r w:rsidRPr="003F7A30">
              <w:rPr>
                <w:rFonts w:ascii="Georgia" w:hAnsi="Georgia"/>
                <w:sz w:val="22"/>
                <w:szCs w:val="22"/>
              </w:rPr>
              <w:t>dedicata quest’anno a Grecia, Irlanda e Olanda, dopo la panoramica</w:t>
            </w:r>
            <w:r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3F7A30">
              <w:rPr>
                <w:rFonts w:ascii="Georgia" w:hAnsi="Georgia"/>
                <w:sz w:val="22"/>
                <w:szCs w:val="22"/>
              </w:rPr>
              <w:t>su Francia, Germania, Spagna, Romania e Svezia,</w:t>
            </w:r>
            <w:r>
              <w:rPr>
                <w:rFonts w:ascii="Georgia" w:hAnsi="Georgia"/>
                <w:sz w:val="22"/>
                <w:szCs w:val="22"/>
              </w:rPr>
              <w:t xml:space="preserve"> </w:t>
            </w:r>
            <w:r w:rsidRPr="003F7A30">
              <w:rPr>
                <w:rFonts w:ascii="Georgia" w:hAnsi="Georgia"/>
                <w:sz w:val="22"/>
                <w:szCs w:val="22"/>
              </w:rPr>
              <w:t>contenuta nell’edizione 2025</w:t>
            </w:r>
            <w:r>
              <w:rPr>
                <w:rFonts w:ascii="Georgia" w:hAnsi="Georgia"/>
                <w:sz w:val="22"/>
                <w:szCs w:val="22"/>
              </w:rPr>
              <w:t xml:space="preserve">. </w:t>
            </w:r>
            <w:r w:rsidRPr="003F7A30">
              <w:rPr>
                <w:rFonts w:ascii="Georgia" w:hAnsi="Georgia"/>
                <w:sz w:val="22"/>
                <w:szCs w:val="22"/>
              </w:rPr>
              <w:t>Dall’approfondimento emerge che guardare al solo cedolino mensile può portare a sottostimare molti elementi presenti nel sistema italiano, in grado di influenzare sensibilmente il risultato finale: dalle mensilità aggiuntive al T</w:t>
            </w:r>
            <w:r w:rsidR="00F113DD">
              <w:rPr>
                <w:rFonts w:ascii="Georgia" w:hAnsi="Georgia"/>
                <w:sz w:val="22"/>
                <w:szCs w:val="22"/>
              </w:rPr>
              <w:t>FR</w:t>
            </w:r>
            <w:r w:rsidRPr="003F7A30">
              <w:rPr>
                <w:rFonts w:ascii="Georgia" w:hAnsi="Georgia"/>
                <w:sz w:val="22"/>
                <w:szCs w:val="22"/>
              </w:rPr>
              <w:t>, fino alle tutele per malattia e maternità. Considerazioni quanto mai attuali, anche alla luce degli ultimi dati Istat relativi a quanti lasciano il Paese per trasferirsi all’estero e a quanti, invece, decidono di rientrare. Gli espatri sono diminuiti dagli oltre 140 mila del 2024 ai 109 mila del 2025, mentre i rientri si sono mantenuti sopra quota 50 mila nel biennio. In questo quadro, dall’analisi emerge la solidità del modello italiano, fondato sulla centralità della contrattazione collettiva e su un sistema di protezioni e tutele generalmente più articolato rispetto agli ordinamenti basati prevalentemente sul salario minimo legale. </w:t>
            </w:r>
          </w:p>
          <w:p w14:paraId="1E547FC1" w14:textId="1A044BD7" w:rsid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  <w:p w14:paraId="3146D8E8" w14:textId="2AB5CBBB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</w:tc>
      </w:tr>
      <w:tr w:rsidR="003F7A30" w:rsidRPr="003F7A30" w14:paraId="0F1C28A9" w14:textId="77777777" w:rsidTr="003F7A30">
        <w:trPr>
          <w:trHeight w:val="224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0E954246" w14:textId="77777777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</w:tc>
      </w:tr>
      <w:tr w:rsidR="003F7A30" w:rsidRPr="003F7A30" w14:paraId="39C95E02" w14:textId="77777777" w:rsidTr="003F7A30">
        <w:trPr>
          <w:trHeight w:val="239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30DD6DC8" w14:textId="77777777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</w:tc>
      </w:tr>
      <w:tr w:rsidR="003F7A30" w:rsidRPr="003F7A30" w14:paraId="70BF72E7" w14:textId="77777777" w:rsidTr="003F7A30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14CF77E" w14:textId="4DB25BB3" w:rsidR="003F7A30" w:rsidRPr="003F7A30" w:rsidRDefault="003F7A30" w:rsidP="003F7A30">
            <w:pPr>
              <w:spacing w:after="0" w:line="240" w:lineRule="auto"/>
              <w:jc w:val="both"/>
              <w:rPr>
                <w:rFonts w:ascii="Georgia" w:hAnsi="Georgia"/>
                <w:sz w:val="22"/>
                <w:szCs w:val="22"/>
              </w:rPr>
            </w:pPr>
          </w:p>
        </w:tc>
      </w:tr>
    </w:tbl>
    <w:p w14:paraId="602096A4" w14:textId="0F098FFF" w:rsidR="00AD28C9" w:rsidRPr="003F7A30" w:rsidRDefault="003F7A30" w:rsidP="003F7A30">
      <w:pPr>
        <w:spacing w:after="0" w:line="240" w:lineRule="auto"/>
        <w:jc w:val="both"/>
        <w:rPr>
          <w:rFonts w:ascii="Georgia" w:hAnsi="Georgia"/>
          <w:sz w:val="22"/>
          <w:szCs w:val="22"/>
        </w:rPr>
      </w:pPr>
      <w:r w:rsidRPr="003F7A30">
        <w:rPr>
          <w:rFonts w:ascii="Georgia" w:hAnsi="Georgia"/>
          <w:sz w:val="22"/>
          <w:szCs w:val="22"/>
        </w:rPr>
        <w:br/>
      </w:r>
    </w:p>
    <w:sectPr w:rsidR="00AD28C9" w:rsidRPr="003F7A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C9"/>
    <w:rsid w:val="003F7A30"/>
    <w:rsid w:val="00701B46"/>
    <w:rsid w:val="0090085E"/>
    <w:rsid w:val="00AA7D58"/>
    <w:rsid w:val="00AD28C9"/>
    <w:rsid w:val="00D74AE7"/>
    <w:rsid w:val="00F1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88B59"/>
  <w15:chartTrackingRefBased/>
  <w15:docId w15:val="{9C9F39B1-C4EA-44E8-AF8A-CCE7179D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D2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2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28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2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28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2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2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2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2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28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28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28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28C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28C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28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28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28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28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2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2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2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2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2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28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28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28C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2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28C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28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bradaschia</dc:creator>
  <cp:keywords/>
  <dc:description/>
  <cp:lastModifiedBy>Sabrina Dozzi</cp:lastModifiedBy>
  <cp:revision>2</cp:revision>
  <dcterms:created xsi:type="dcterms:W3CDTF">2026-09-04T08:57:00Z</dcterms:created>
  <dcterms:modified xsi:type="dcterms:W3CDTF">2026-09-04T08:57:00Z</dcterms:modified>
</cp:coreProperties>
</file>